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民生政策类项目</w:t>
            </w:r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按照相关政策文件执行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按照政策文件，发放学生资助资金发放、缴纳校方责任险等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344.52 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344.52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基本持平，因学生、教师人数增加，校方责任险的预算有所增加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344.52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344.52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344.52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民生政策类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民生政策类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对个人及家庭的补助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344.52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根据工作计划安排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按照政策完成学生资助、缴纳校方责任险等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按照政策完成学生资助、缴纳校方责任险等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各级各类学生资助标准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符合相关资助标准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学生资助资金区级配套率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享受学生校方责任险人数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根据学校实际人数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学生校方责任险参保面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资助资金应发尽发率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投保覆盖计划完成率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Hans"/>
              </w:rPr>
              <w:t>奖助学金按规定及时发放率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理赔处置工作完成及时率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服务响应时间达标情况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24小时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理赔付款及时性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10天内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惠及各学段应享受学生资助对象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应助尽助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化解事故纠纷有效性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安全隐患消除有效性认可度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各级各类学生资助标准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符合相关资助标准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符合相关资助标准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符合相关资助标准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学生资助资金区级配套率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享受学生校方责任险人数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根据学校实际人数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根据学校实际人数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根据学校实际人数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学生校方责任险参保面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资助资金应发尽发率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投保覆盖计划完成率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Hans"/>
              </w:rPr>
              <w:t>奖助学金按规定及时发放率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理赔处置工作完成及时率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服务响应时间达标情况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24小时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24小时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24小时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理赔付款及时性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10天内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10天内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10天内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惠及各学段应享受学生资助对象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应助尽助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应助尽助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应助尽助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化解事故纠纷有效性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安全隐患消除有效性认可度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29F84AFF"/>
    <w:rsid w:val="33ED351B"/>
    <w:rsid w:val="3659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1036</Words>
  <Characters>1151</Characters>
  <Lines>0</Lines>
  <Paragraphs>0</Paragraphs>
  <TotalTime>0</TotalTime>
  <ScaleCrop>false</ScaleCrop>
  <LinksUpToDate>false</LinksUpToDate>
  <CharactersWithSpaces>1252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2023-01-18T02:40:36Z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